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и технологии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препод. _________________ /Волошина О.С./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технологии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«Информационные системы и технологии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и технологии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внедрению эксплуатации, поддержанию устойчивого функционирования интегрированной системы управления рисками, мониторингу эффективности управления рисками и консультированию сотрудников по вопросам повышения эффективности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современные информа-ционные системы и технологии управления рисками и возможности их применения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продвинутого пользователя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использовать специализированное программное обеспечение по управлению рисками, работать со специализиро-ванными программами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разработки требований к программному обеспечению по управлению рисками, помощь в выборе автоматизированной системы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постановки задач и контроль внедрения информационной системы управления рисками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«Информационные системы и технологии управления рисками» относится к обязательной части, является дисциплиной Блока Б1. «Дисциплины (модули)». Модуль "Интегрированная система управления рисками" основной профессиональной образовательной программы высшего образования - магистратура по направлению подготовки 38.04.02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 Управление продуктом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ресурсы и технологии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Информацонные ресурсы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"Риски в бизнесе и их экономическая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структурф информационных ресурсов предприятия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структуры информционной системы конкретного предприятия или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Предметно-ориентированные экономические информационные системы и системы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"Выявление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метолики выбора для соответствующей предметной области готовых программных продуктов - ИС специального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бухгалтерских систем для конкретных предприятий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Интеллектуальные информационные системы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"Методы оценки риска</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Сравнение примеров интеллектуальных систем разных классов с точки зо\рения их практического применения для выбранного объекта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Информацонные ресурсы и технологии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и предприятия. Информационные технологии. Виды и классификации информационных систем. Определение и структурв информационной системы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Справочно-правовые информационные системы. Автоматизированные системы. Информационные системы: фондового рынка, бюджетирования и финансового анализа, таможенные системы, системы внешнеэкономической деятельности, страхование и пенсионное обеспечение.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оперативного управления.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корпоративной информационой системы, системы оперативного управления. Эволюция стандартов управления предприятием. Информационные стстемы в маркетинге, управления персоналом, бухгалтерского учета. ИТ-консалтинг.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системах искусственного интеллекта. Модели представления знаний.Классификация интеллектуальных информацонных систем. Экспертные системы в экономике.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"Риски в бизнесе и их экономическая сущность".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риска и неопределенности в хозяйственной деятельности. Риск как</w:t>
            </w:r>
          </w:p>
          <w:p>
            <w:pPr>
              <w:jc w:val="both"/>
              <w:spacing w:after="0" w:line="240" w:lineRule="auto"/>
              <w:rPr>
                <w:sz w:val="24"/>
                <w:szCs w:val="24"/>
              </w:rPr>
            </w:pPr>
            <w:r>
              <w:rPr>
                <w:rFonts w:ascii="Times New Roman" w:hAnsi="Times New Roman" w:cs="Times New Roman"/>
                <w:color w:val="#000000"/>
                <w:sz w:val="24"/>
                <w:szCs w:val="24"/>
              </w:rPr>
              <w:t> историческая категория. Основные этапы эволюции понятия «предпринимательский риск».</w:t>
            </w:r>
          </w:p>
          <w:p>
            <w:pPr>
              <w:jc w:val="both"/>
              <w:spacing w:after="0" w:line="240" w:lineRule="auto"/>
              <w:rPr>
                <w:sz w:val="24"/>
                <w:szCs w:val="24"/>
              </w:rPr>
            </w:pPr>
            <w:r>
              <w:rPr>
                <w:rFonts w:ascii="Times New Roman" w:hAnsi="Times New Roman" w:cs="Times New Roman"/>
                <w:color w:val="#000000"/>
                <w:sz w:val="24"/>
                <w:szCs w:val="24"/>
              </w:rPr>
              <w:t> Хронология исследований риска.</w:t>
            </w:r>
          </w:p>
          <w:p>
            <w:pPr>
              <w:jc w:val="both"/>
              <w:spacing w:after="0" w:line="240" w:lineRule="auto"/>
              <w:rPr>
                <w:sz w:val="24"/>
                <w:szCs w:val="24"/>
              </w:rPr>
            </w:pPr>
            <w:r>
              <w:rPr>
                <w:rFonts w:ascii="Times New Roman" w:hAnsi="Times New Roman" w:cs="Times New Roman"/>
                <w:color w:val="#000000"/>
                <w:sz w:val="24"/>
                <w:szCs w:val="24"/>
              </w:rPr>
              <w:t> Теории предпринимательских рисков: классическая, неоклассическая, кейнсианская.</w:t>
            </w:r>
          </w:p>
          <w:p>
            <w:pPr>
              <w:jc w:val="both"/>
              <w:spacing w:after="0" w:line="240" w:lineRule="auto"/>
              <w:rPr>
                <w:sz w:val="24"/>
                <w:szCs w:val="24"/>
              </w:rPr>
            </w:pPr>
            <w:r>
              <w:rPr>
                <w:rFonts w:ascii="Times New Roman" w:hAnsi="Times New Roman" w:cs="Times New Roman"/>
                <w:color w:val="#000000"/>
                <w:sz w:val="24"/>
                <w:szCs w:val="24"/>
              </w:rPr>
              <w:t> Сущность и содержание риска как экономической категории. Функции риска.</w:t>
            </w:r>
          </w:p>
          <w:p>
            <w:pPr>
              <w:jc w:val="both"/>
              <w:spacing w:after="0" w:line="240" w:lineRule="auto"/>
              <w:rPr>
                <w:sz w:val="24"/>
                <w:szCs w:val="24"/>
              </w:rPr>
            </w:pPr>
            <w:r>
              <w:rPr>
                <w:rFonts w:ascii="Times New Roman" w:hAnsi="Times New Roman" w:cs="Times New Roman"/>
                <w:color w:val="#000000"/>
                <w:sz w:val="24"/>
                <w:szCs w:val="24"/>
              </w:rPr>
              <w:t> Экономическая сущность рисков хозяйственной деятельности. Растущая роль рискменеджера в современном бизнесе.</w:t>
            </w:r>
          </w:p>
          <w:p>
            <w:pPr>
              <w:jc w:val="both"/>
              <w:spacing w:after="0" w:line="240" w:lineRule="auto"/>
              <w:rPr>
                <w:sz w:val="24"/>
                <w:szCs w:val="24"/>
              </w:rPr>
            </w:pPr>
            <w:r>
              <w:rPr>
                <w:rFonts w:ascii="Times New Roman" w:hAnsi="Times New Roman" w:cs="Times New Roman"/>
                <w:color w:val="#000000"/>
                <w:sz w:val="24"/>
                <w:szCs w:val="24"/>
              </w:rPr>
              <w:t> Принципы классификации рисков. Типология рисков по различным признакам.</w:t>
            </w:r>
          </w:p>
          <w:p>
            <w:pPr>
              <w:jc w:val="both"/>
              <w:spacing w:after="0" w:line="240" w:lineRule="auto"/>
              <w:rPr>
                <w:sz w:val="24"/>
                <w:szCs w:val="24"/>
              </w:rPr>
            </w:pPr>
            <w:r>
              <w:rPr>
                <w:rFonts w:ascii="Times New Roman" w:hAnsi="Times New Roman" w:cs="Times New Roman"/>
                <w:color w:val="#000000"/>
                <w:sz w:val="24"/>
                <w:szCs w:val="24"/>
              </w:rPr>
              <w:t> Чистые и спекулятивные риски. Основные виды коммерческих рисков: имущественные,</w:t>
            </w:r>
          </w:p>
          <w:p>
            <w:pPr>
              <w:jc w:val="both"/>
              <w:spacing w:after="0" w:line="240" w:lineRule="auto"/>
              <w:rPr>
                <w:sz w:val="24"/>
                <w:szCs w:val="24"/>
              </w:rPr>
            </w:pPr>
            <w:r>
              <w:rPr>
                <w:rFonts w:ascii="Times New Roman" w:hAnsi="Times New Roman" w:cs="Times New Roman"/>
                <w:color w:val="#000000"/>
                <w:sz w:val="24"/>
                <w:szCs w:val="24"/>
              </w:rPr>
              <w:t> производственные, торговые, финансовые.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структурф информационных ресурсов предприятия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структуры информционной системы конкретного предприятия или организации.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"Выявление рисков".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Субъективное восприятие риска. Личность и отношение к риску: непринятие риска и</w:t>
            </w:r>
          </w:p>
          <w:p>
            <w:pPr>
              <w:jc w:val="both"/>
              <w:spacing w:after="0" w:line="240" w:lineRule="auto"/>
              <w:rPr>
                <w:sz w:val="24"/>
                <w:szCs w:val="24"/>
              </w:rPr>
            </w:pPr>
            <w:r>
              <w:rPr>
                <w:rFonts w:ascii="Times New Roman" w:hAnsi="Times New Roman" w:cs="Times New Roman"/>
                <w:color w:val="#000000"/>
                <w:sz w:val="24"/>
                <w:szCs w:val="24"/>
              </w:rPr>
              <w:t> стремление к риску. Теория ожидаемой полезности Неймана-Моргенштерна. Кривые</w:t>
            </w:r>
          </w:p>
          <w:p>
            <w:pPr>
              <w:jc w:val="both"/>
              <w:spacing w:after="0" w:line="240" w:lineRule="auto"/>
              <w:rPr>
                <w:sz w:val="24"/>
                <w:szCs w:val="24"/>
              </w:rPr>
            </w:pPr>
            <w:r>
              <w:rPr>
                <w:rFonts w:ascii="Times New Roman" w:hAnsi="Times New Roman" w:cs="Times New Roman"/>
                <w:color w:val="#000000"/>
                <w:sz w:val="24"/>
                <w:szCs w:val="24"/>
              </w:rPr>
              <w:t> предельной полезности дохода.</w:t>
            </w:r>
          </w:p>
          <w:p>
            <w:pPr>
              <w:jc w:val="both"/>
              <w:spacing w:after="0" w:line="240" w:lineRule="auto"/>
              <w:rPr>
                <w:sz w:val="24"/>
                <w:szCs w:val="24"/>
              </w:rPr>
            </w:pPr>
            <w:r>
              <w:rPr>
                <w:rFonts w:ascii="Times New Roman" w:hAnsi="Times New Roman" w:cs="Times New Roman"/>
                <w:color w:val="#000000"/>
                <w:sz w:val="24"/>
                <w:szCs w:val="24"/>
              </w:rPr>
              <w:t> Проблема согласования предпочтений по риску. Теории принятия решений группой</w:t>
            </w:r>
          </w:p>
          <w:p>
            <w:pPr>
              <w:jc w:val="both"/>
              <w:spacing w:after="0" w:line="240" w:lineRule="auto"/>
              <w:rPr>
                <w:sz w:val="24"/>
                <w:szCs w:val="24"/>
              </w:rPr>
            </w:pPr>
            <w:r>
              <w:rPr>
                <w:rFonts w:ascii="Times New Roman" w:hAnsi="Times New Roman" w:cs="Times New Roman"/>
                <w:color w:val="#000000"/>
                <w:sz w:val="24"/>
                <w:szCs w:val="24"/>
              </w:rPr>
              <w:t> лиц. Теория передачи полномочий. Теория заинтересованных лиц. Метод сценариев. Метод</w:t>
            </w:r>
          </w:p>
          <w:p>
            <w:pPr>
              <w:jc w:val="both"/>
              <w:spacing w:after="0" w:line="240" w:lineRule="auto"/>
              <w:rPr>
                <w:sz w:val="24"/>
                <w:szCs w:val="24"/>
              </w:rPr>
            </w:pPr>
            <w:r>
              <w:rPr>
                <w:rFonts w:ascii="Times New Roman" w:hAnsi="Times New Roman" w:cs="Times New Roman"/>
                <w:color w:val="#000000"/>
                <w:sz w:val="24"/>
                <w:szCs w:val="24"/>
              </w:rPr>
              <w:t> Монте-Карло.</w:t>
            </w:r>
          </w:p>
          <w:p>
            <w:pPr>
              <w:jc w:val="both"/>
              <w:spacing w:after="0" w:line="240" w:lineRule="auto"/>
              <w:rPr>
                <w:sz w:val="24"/>
                <w:szCs w:val="24"/>
              </w:rPr>
            </w:pPr>
            <w:r>
              <w:rPr>
                <w:rFonts w:ascii="Times New Roman" w:hAnsi="Times New Roman" w:cs="Times New Roman"/>
                <w:color w:val="#000000"/>
                <w:sz w:val="24"/>
                <w:szCs w:val="24"/>
              </w:rPr>
              <w:t> Разработка программы по контролю и выявлению рисков.</w:t>
            </w:r>
          </w:p>
          <w:p>
            <w:pPr>
              <w:jc w:val="both"/>
              <w:spacing w:after="0" w:line="240" w:lineRule="auto"/>
              <w:rPr>
                <w:sz w:val="24"/>
                <w:szCs w:val="24"/>
              </w:rPr>
            </w:pPr>
            <w:r>
              <w:rPr>
                <w:rFonts w:ascii="Times New Roman" w:hAnsi="Times New Roman" w:cs="Times New Roman"/>
                <w:color w:val="#000000"/>
                <w:sz w:val="24"/>
                <w:szCs w:val="24"/>
              </w:rPr>
              <w:t> Методы выявления рисков: специфические опросные листы; анализ первичной</w:t>
            </w:r>
          </w:p>
          <w:p>
            <w:pPr>
              <w:jc w:val="both"/>
              <w:spacing w:after="0" w:line="240" w:lineRule="auto"/>
              <w:rPr>
                <w:sz w:val="24"/>
                <w:szCs w:val="24"/>
              </w:rPr>
            </w:pPr>
            <w:r>
              <w:rPr>
                <w:rFonts w:ascii="Times New Roman" w:hAnsi="Times New Roman" w:cs="Times New Roman"/>
                <w:color w:val="#000000"/>
                <w:sz w:val="24"/>
                <w:szCs w:val="24"/>
              </w:rPr>
              <w:t> управленческой и финансовой документации; анализ отчетности; анализ структурных</w:t>
            </w:r>
          </w:p>
          <w:p>
            <w:pPr>
              <w:jc w:val="both"/>
              <w:spacing w:after="0" w:line="240" w:lineRule="auto"/>
              <w:rPr>
                <w:sz w:val="24"/>
                <w:szCs w:val="24"/>
              </w:rPr>
            </w:pPr>
            <w:r>
              <w:rPr>
                <w:rFonts w:ascii="Times New Roman" w:hAnsi="Times New Roman" w:cs="Times New Roman"/>
                <w:color w:val="#000000"/>
                <w:sz w:val="24"/>
                <w:szCs w:val="24"/>
              </w:rPr>
              <w:t> диаграмм; анализ карт движения финансовых потоков; экспертный метод; привлечение</w:t>
            </w:r>
          </w:p>
          <w:p>
            <w:pPr>
              <w:jc w:val="both"/>
              <w:spacing w:after="0" w:line="240" w:lineRule="auto"/>
              <w:rPr>
                <w:sz w:val="24"/>
                <w:szCs w:val="24"/>
              </w:rPr>
            </w:pPr>
            <w:r>
              <w:rPr>
                <w:rFonts w:ascii="Times New Roman" w:hAnsi="Times New Roman" w:cs="Times New Roman"/>
                <w:color w:val="#000000"/>
                <w:sz w:val="24"/>
                <w:szCs w:val="24"/>
              </w:rPr>
              <w:t> консалтинговых фирм.</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метолики выбора для соответствующей предметной области готовых программных продуктов - ИС специального назначения.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бухгалтерских систем для конкретных предприятий (организаций).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"Методы оценки риска</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и методы измерения риска. Три категории измерителей риска:</w:t>
            </w:r>
          </w:p>
          <w:p>
            <w:pPr>
              <w:jc w:val="both"/>
              <w:spacing w:after="0" w:line="240" w:lineRule="auto"/>
              <w:rPr>
                <w:sz w:val="24"/>
                <w:szCs w:val="24"/>
              </w:rPr>
            </w:pPr>
            <w:r>
              <w:rPr>
                <w:rFonts w:ascii="Times New Roman" w:hAnsi="Times New Roman" w:cs="Times New Roman"/>
                <w:color w:val="#000000"/>
                <w:sz w:val="24"/>
                <w:szCs w:val="24"/>
              </w:rPr>
              <w:t> вероятностные (статистические) величины, коэффициенты чувствительности, критические</w:t>
            </w:r>
          </w:p>
          <w:p>
            <w:pPr>
              <w:jc w:val="both"/>
              <w:spacing w:after="0" w:line="240" w:lineRule="auto"/>
              <w:rPr>
                <w:sz w:val="24"/>
                <w:szCs w:val="24"/>
              </w:rPr>
            </w:pPr>
            <w:r>
              <w:rPr>
                <w:rFonts w:ascii="Times New Roman" w:hAnsi="Times New Roman" w:cs="Times New Roman"/>
                <w:color w:val="#000000"/>
                <w:sz w:val="24"/>
                <w:szCs w:val="24"/>
              </w:rPr>
              <w:t> точки.</w:t>
            </w:r>
          </w:p>
          <w:p>
            <w:pPr>
              <w:jc w:val="both"/>
              <w:spacing w:after="0" w:line="240" w:lineRule="auto"/>
              <w:rPr>
                <w:sz w:val="24"/>
                <w:szCs w:val="24"/>
              </w:rPr>
            </w:pPr>
            <w:r>
              <w:rPr>
                <w:rFonts w:ascii="Times New Roman" w:hAnsi="Times New Roman" w:cs="Times New Roman"/>
                <w:color w:val="#000000"/>
                <w:sz w:val="24"/>
                <w:szCs w:val="24"/>
              </w:rPr>
              <w:t> Качественный анализ риска: выявление возможных видов риска, факторов,</w:t>
            </w:r>
          </w:p>
          <w:p>
            <w:pPr>
              <w:jc w:val="both"/>
              <w:spacing w:after="0" w:line="240" w:lineRule="auto"/>
              <w:rPr>
                <w:sz w:val="24"/>
                <w:szCs w:val="24"/>
              </w:rPr>
            </w:pPr>
            <w:r>
              <w:rPr>
                <w:rFonts w:ascii="Times New Roman" w:hAnsi="Times New Roman" w:cs="Times New Roman"/>
                <w:color w:val="#000000"/>
                <w:sz w:val="24"/>
                <w:szCs w:val="24"/>
              </w:rPr>
              <w:t> влияющих на уровень риска, потенциальных областей риска.</w:t>
            </w:r>
          </w:p>
          <w:p>
            <w:pPr>
              <w:jc w:val="both"/>
              <w:spacing w:after="0" w:line="240" w:lineRule="auto"/>
              <w:rPr>
                <w:sz w:val="24"/>
                <w:szCs w:val="24"/>
              </w:rPr>
            </w:pPr>
            <w:r>
              <w:rPr>
                <w:rFonts w:ascii="Times New Roman" w:hAnsi="Times New Roman" w:cs="Times New Roman"/>
                <w:color w:val="#000000"/>
                <w:sz w:val="24"/>
                <w:szCs w:val="24"/>
              </w:rPr>
              <w:t> Методы качественной оценки риска: метод использования аналогов; метод</w:t>
            </w:r>
          </w:p>
          <w:p>
            <w:pPr>
              <w:jc w:val="both"/>
              <w:spacing w:after="0" w:line="240" w:lineRule="auto"/>
              <w:rPr>
                <w:sz w:val="24"/>
                <w:szCs w:val="24"/>
              </w:rPr>
            </w:pPr>
            <w:r>
              <w:rPr>
                <w:rFonts w:ascii="Times New Roman" w:hAnsi="Times New Roman" w:cs="Times New Roman"/>
                <w:color w:val="#000000"/>
                <w:sz w:val="24"/>
                <w:szCs w:val="24"/>
              </w:rPr>
              <w:t> экспертных оценок.Способы и методы количественного измерения риска. Три категории измерителей</w:t>
            </w:r>
          </w:p>
          <w:p>
            <w:pPr>
              <w:jc w:val="both"/>
              <w:spacing w:after="0" w:line="240" w:lineRule="auto"/>
              <w:rPr>
                <w:sz w:val="24"/>
                <w:szCs w:val="24"/>
              </w:rPr>
            </w:pPr>
            <w:r>
              <w:rPr>
                <w:rFonts w:ascii="Times New Roman" w:hAnsi="Times New Roman" w:cs="Times New Roman"/>
                <w:color w:val="#000000"/>
                <w:sz w:val="24"/>
                <w:szCs w:val="24"/>
              </w:rPr>
              <w:t> риска: вероятностные (статистические) величины, коэффициенты чувствительности,</w:t>
            </w:r>
          </w:p>
          <w:p>
            <w:pPr>
              <w:jc w:val="both"/>
              <w:spacing w:after="0" w:line="240" w:lineRule="auto"/>
              <w:rPr>
                <w:sz w:val="24"/>
                <w:szCs w:val="24"/>
              </w:rPr>
            </w:pPr>
            <w:r>
              <w:rPr>
                <w:rFonts w:ascii="Times New Roman" w:hAnsi="Times New Roman" w:cs="Times New Roman"/>
                <w:color w:val="#000000"/>
                <w:sz w:val="24"/>
                <w:szCs w:val="24"/>
              </w:rPr>
              <w:t> косвенные показатели рисков.</w:t>
            </w:r>
          </w:p>
          <w:p>
            <w:pPr>
              <w:jc w:val="both"/>
              <w:spacing w:after="0" w:line="240" w:lineRule="auto"/>
              <w:rPr>
                <w:sz w:val="24"/>
                <w:szCs w:val="24"/>
              </w:rPr>
            </w:pPr>
            <w:r>
              <w:rPr>
                <w:rFonts w:ascii="Times New Roman" w:hAnsi="Times New Roman" w:cs="Times New Roman"/>
                <w:color w:val="#000000"/>
                <w:sz w:val="24"/>
                <w:szCs w:val="24"/>
              </w:rPr>
              <w:t> Математико-статистические методы оценки финансового риска.</w:t>
            </w:r>
          </w:p>
          <w:p>
            <w:pPr>
              <w:jc w:val="both"/>
              <w:spacing w:after="0" w:line="240" w:lineRule="auto"/>
              <w:rPr>
                <w:sz w:val="24"/>
                <w:szCs w:val="24"/>
              </w:rPr>
            </w:pPr>
            <w:r>
              <w:rPr>
                <w:rFonts w:ascii="Times New Roman" w:hAnsi="Times New Roman" w:cs="Times New Roman"/>
                <w:color w:val="#000000"/>
                <w:sz w:val="24"/>
                <w:szCs w:val="24"/>
              </w:rPr>
              <w:t> Статистический метод. Понятие статистической величины (степени) риска. Среднее</w:t>
            </w:r>
          </w:p>
          <w:p>
            <w:pPr>
              <w:jc w:val="both"/>
              <w:spacing w:after="0" w:line="240" w:lineRule="auto"/>
              <w:rPr>
                <w:sz w:val="24"/>
                <w:szCs w:val="24"/>
              </w:rPr>
            </w:pPr>
            <w:r>
              <w:rPr>
                <w:rFonts w:ascii="Times New Roman" w:hAnsi="Times New Roman" w:cs="Times New Roman"/>
                <w:color w:val="#000000"/>
                <w:sz w:val="24"/>
                <w:szCs w:val="24"/>
              </w:rPr>
              <w:t> ожидаемое значение и вариабельность доходов. Основные показатели колеблемости</w:t>
            </w:r>
          </w:p>
          <w:p>
            <w:pPr>
              <w:jc w:val="both"/>
              <w:spacing w:after="0" w:line="240" w:lineRule="auto"/>
              <w:rPr>
                <w:sz w:val="24"/>
                <w:szCs w:val="24"/>
              </w:rPr>
            </w:pPr>
            <w:r>
              <w:rPr>
                <w:rFonts w:ascii="Times New Roman" w:hAnsi="Times New Roman" w:cs="Times New Roman"/>
                <w:color w:val="#000000"/>
                <w:sz w:val="24"/>
                <w:szCs w:val="24"/>
              </w:rPr>
              <w:t> (волатильности). Дисперсия. Среднеквадратическое (стандартное) отклонение.</w:t>
            </w:r>
          </w:p>
          <w:p>
            <w:pPr>
              <w:jc w:val="both"/>
              <w:spacing w:after="0" w:line="240" w:lineRule="auto"/>
              <w:rPr>
                <w:sz w:val="24"/>
                <w:szCs w:val="24"/>
              </w:rPr>
            </w:pPr>
            <w:r>
              <w:rPr>
                <w:rFonts w:ascii="Times New Roman" w:hAnsi="Times New Roman" w:cs="Times New Roman"/>
                <w:color w:val="#000000"/>
                <w:sz w:val="24"/>
                <w:szCs w:val="24"/>
              </w:rPr>
              <w:t> Коэффициент вариации.</w:t>
            </w:r>
          </w:p>
          <w:p>
            <w:pPr>
              <w:jc w:val="both"/>
              <w:spacing w:after="0" w:line="240" w:lineRule="auto"/>
              <w:rPr>
                <w:sz w:val="24"/>
                <w:szCs w:val="24"/>
              </w:rPr>
            </w:pPr>
            <w:r>
              <w:rPr>
                <w:rFonts w:ascii="Times New Roman" w:hAnsi="Times New Roman" w:cs="Times New Roman"/>
                <w:color w:val="#000000"/>
                <w:sz w:val="24"/>
                <w:szCs w:val="24"/>
              </w:rPr>
              <w:t> Метод оценки вероятности ожидаемого ущерба. Метод минимизации потерь. Метод</w:t>
            </w:r>
          </w:p>
          <w:p>
            <w:pPr>
              <w:jc w:val="both"/>
              <w:spacing w:after="0" w:line="240" w:lineRule="auto"/>
              <w:rPr>
                <w:sz w:val="24"/>
                <w:szCs w:val="24"/>
              </w:rPr>
            </w:pPr>
            <w:r>
              <w:rPr>
                <w:rFonts w:ascii="Times New Roman" w:hAnsi="Times New Roman" w:cs="Times New Roman"/>
                <w:color w:val="#000000"/>
                <w:sz w:val="24"/>
                <w:szCs w:val="24"/>
              </w:rPr>
              <w:t> построения дерева решений. Математический метод. Экономический анализ деятельности</w:t>
            </w:r>
          </w:p>
          <w:p>
            <w:pPr>
              <w:jc w:val="both"/>
              <w:spacing w:after="0" w:line="240" w:lineRule="auto"/>
              <w:rPr>
                <w:sz w:val="24"/>
                <w:szCs w:val="24"/>
              </w:rPr>
            </w:pPr>
            <w:r>
              <w:rPr>
                <w:rFonts w:ascii="Times New Roman" w:hAnsi="Times New Roman" w:cs="Times New Roman"/>
                <w:color w:val="#000000"/>
                <w:sz w:val="24"/>
                <w:szCs w:val="24"/>
              </w:rPr>
              <w:t> предприятия.</w:t>
            </w:r>
          </w:p>
          <w:p>
            <w:pPr>
              <w:jc w:val="both"/>
              <w:spacing w:after="0" w:line="240" w:lineRule="auto"/>
              <w:rPr>
                <w:sz w:val="24"/>
                <w:szCs w:val="24"/>
              </w:rPr>
            </w:pPr>
            <w:r>
              <w:rPr>
                <w:rFonts w:ascii="Times New Roman" w:hAnsi="Times New Roman" w:cs="Times New Roman"/>
                <w:color w:val="#000000"/>
                <w:sz w:val="24"/>
                <w:szCs w:val="24"/>
              </w:rPr>
              <w:t> Оценка инвестиционного риска. Оценка общего риска портфеля ценных бумаг.</w:t>
            </w:r>
          </w:p>
          <w:p>
            <w:pPr>
              <w:jc w:val="both"/>
              <w:spacing w:after="0" w:line="240" w:lineRule="auto"/>
              <w:rPr>
                <w:sz w:val="24"/>
                <w:szCs w:val="24"/>
              </w:rPr>
            </w:pPr>
            <w:r>
              <w:rPr>
                <w:rFonts w:ascii="Times New Roman" w:hAnsi="Times New Roman" w:cs="Times New Roman"/>
                <w:color w:val="#000000"/>
                <w:sz w:val="24"/>
                <w:szCs w:val="24"/>
              </w:rPr>
              <w:t> Определение бетта-коэффициента портфеля ценных бумаг. Методы формирования</w:t>
            </w:r>
          </w:p>
          <w:p>
            <w:pPr>
              <w:jc w:val="both"/>
              <w:spacing w:after="0" w:line="240" w:lineRule="auto"/>
              <w:rPr>
                <w:sz w:val="24"/>
                <w:szCs w:val="24"/>
              </w:rPr>
            </w:pPr>
            <w:r>
              <w:rPr>
                <w:rFonts w:ascii="Times New Roman" w:hAnsi="Times New Roman" w:cs="Times New Roman"/>
                <w:color w:val="#000000"/>
                <w:sz w:val="24"/>
                <w:szCs w:val="24"/>
              </w:rPr>
              <w:t> эффективного портфеля. Модель оценки капитальных активов САРМ. Метод кумулятивного</w:t>
            </w:r>
          </w:p>
          <w:p>
            <w:pPr>
              <w:jc w:val="both"/>
              <w:spacing w:after="0" w:line="240" w:lineRule="auto"/>
              <w:rPr>
                <w:sz w:val="24"/>
                <w:szCs w:val="24"/>
              </w:rPr>
            </w:pPr>
            <w:r>
              <w:rPr>
                <w:rFonts w:ascii="Times New Roman" w:hAnsi="Times New Roman" w:cs="Times New Roman"/>
                <w:color w:val="#000000"/>
                <w:sz w:val="24"/>
                <w:szCs w:val="24"/>
              </w:rPr>
              <w:t> построения ставки дисконта.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Сравнение примеров интеллектуальных систем разных классов с точки зо\рения их практического применения для выбранного объекта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и технологии управления рисками» / Волошина О.С..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https://urait.ru/bcode/477500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https://urait.ru/bcode/475336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47.3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2023-2024_ФГОС3++2023_Маг-ЗФО-Менеджмент(РМСиТПО)(23)_plx_Информационные системы и технологии управления рисками</dc:title>
  <dc:creator>FastReport.NET</dc:creator>
</cp:coreProperties>
</file>